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</w:t>
      </w:r>
      <w:r>
        <w:t xml:space="preserve"> </w:t>
      </w:r>
      <w:r>
        <w:t xml:space="preserve">genotype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trait variation in a genetically diverse mouse model of</w:t>
      </w:r>
      <w:r>
        <w:t xml:space="preserve"> </w:t>
      </w:r>
      <w:r>
        <w:t xml:space="preserve">diet-induced obesity and metabolic disease. It has frequently been</w:t>
      </w:r>
      <w:r>
        <w:t xml:space="preserve"> </w:t>
      </w:r>
      <w:r>
        <w:t xml:space="preserve">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</w:t>
      </w:r>
      <w:r>
        <w:t xml:space="preserve"> </w:t>
      </w:r>
      <w:r>
        <w:t xml:space="preserve">trait 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the discussion has</w:t>
      </w:r>
      <w:r>
        <w:t xml:space="preserve"> </w:t>
      </w:r>
      <w:r>
        <w:t xml:space="preserve">turned to distal gene regulation</w:t>
      </w:r>
      <w:r>
        <w:rPr>
          <w:vertAlign w:val="superscript"/>
        </w:rPr>
        <w:t xml:space="preserve">18,19,61</w:t>
      </w:r>
      <w:r>
        <w:t xml:space="preserve">, which is more complex</w:t>
      </w:r>
      <w:r>
        <w:t xml:space="preserve"> </w:t>
      </w:r>
      <w:r>
        <w:t xml:space="preserve">to identify, but may be an important component of trait heritability.</w:t>
      </w:r>
    </w:p>
    <w:p>
      <w:pPr>
        <w:pStyle w:val="BodyText"/>
      </w:pPr>
      <w:r>
        <w:t xml:space="preserve">With HDMA we identified tissue-specific composite transcripts that</w:t>
      </w:r>
      <w:r>
        <w:t xml:space="preserve"> </w:t>
      </w:r>
      <w:r>
        <w:t xml:space="preserve">mediated the effects of genetic background on trait variation in the DO</w:t>
      </w:r>
      <w:r>
        <w:t xml:space="preserve"> </w:t>
      </w:r>
      <w:r>
        <w:t xml:space="preserve">mice. The transcripts that contributed the most to the composite</w:t>
      </w:r>
      <w:r>
        <w:t xml:space="preserve"> </w:t>
      </w:r>
      <w:r>
        <w:t xml:space="preserve">transcripts were strongly distally regulated and only weakly locally</w:t>
      </w:r>
      <w:r>
        <w:t xml:space="preserve"> </w:t>
      </w:r>
      <w:r>
        <w:t xml:space="preserve">regulated, suggesting that distal gene regulation plays a primary role</w:t>
      </w:r>
      <w:r>
        <w:t xml:space="preserve"> </w:t>
      </w:r>
      <w:r>
        <w:t xml:space="preserve">in driving heritable trait variation. In support of this hypothesis, we</w:t>
      </w:r>
      <w:r>
        <w:t xml:space="preserve"> </w:t>
      </w:r>
      <w:r>
        <w:t xml:space="preserve">demonstrated that the transcriptomic signatures we identified predicted</w:t>
      </w:r>
      <w:r>
        <w:t xml:space="preserve"> </w:t>
      </w:r>
      <w:r>
        <w:t xml:space="preserve">obesity in an independent population of CC-RIX mice and in humans,</w:t>
      </w:r>
      <w:r>
        <w:t xml:space="preserve"> </w:t>
      </w:r>
      <w:r>
        <w:t xml:space="preserve">whereas a model using local gene regulation alone was unable to predict</w:t>
      </w:r>
      <w:r>
        <w:t xml:space="preserve"> </w:t>
      </w:r>
      <w:r>
        <w:t xml:space="preserve">obsesity in the mice. Finally, we showed that these transcriptomic</w:t>
      </w:r>
      <w:r>
        <w:t xml:space="preserve"> </w:t>
      </w:r>
      <w:r>
        <w:t xml:space="preserve">signatures have multiple applications, including analyses of tissue</w:t>
      </w:r>
      <w:r>
        <w:t xml:space="preserve"> </w:t>
      </w:r>
      <w:r>
        <w:t xml:space="preserve">composition from bulk RNA-Seq and drug prioritization.</w:t>
      </w:r>
    </w:p>
    <w:p>
      <w:pPr>
        <w:pStyle w:val="BodyText"/>
      </w:pPr>
      <w:r>
        <w:t xml:space="preserve">The observation that distal gene regulation is primarily responsible for</w:t>
      </w:r>
      <w:r>
        <w:t xml:space="preserve"> </w:t>
      </w:r>
      <w:r>
        <w:t xml:space="preserve">expression-mediated trait variation is supported in human studies.</w:t>
      </w:r>
      <w:r>
        <w:t xml:space="preserve"> </w:t>
      </w:r>
      <w:r>
        <w:t xml:space="preserve">Transcripts with low local heritability have been shown to explain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</w:t>
      </w:r>
      <w:r>
        <w:rPr>
          <w:vertAlign w:val="superscript"/>
        </w:rPr>
        <w:t xml:space="preserve">19</w:t>
      </w:r>
      <w:r>
        <w:t xml:space="preserve">. Further, studies suggest that</w:t>
      </w:r>
      <w:r>
        <w:t xml:space="preserve"> </w:t>
      </w:r>
      <w:r>
        <w:t xml:space="preserve">genes that are near GWAS hits and have obvious functional relevance to a</w:t>
      </w:r>
      <w:r>
        <w:t xml:space="preserve"> </w:t>
      </w:r>
      <w:r>
        <w:t xml:space="preserve">trait tend to have highly complex regulatory landscapes under strong</w:t>
      </w:r>
      <w:r>
        <w:t xml:space="preserve"> </w:t>
      </w:r>
      <w:r>
        <w:t xml:space="preserve">selection pressures</w:t>
      </w:r>
      <w:r>
        <w:rPr>
          <w:vertAlign w:val="superscript"/>
        </w:rPr>
        <w:t xml:space="preserve">18</w:t>
      </w:r>
      <w:r>
        <w:t xml:space="preserve">. In contrast, genes with strong</w:t>
      </w:r>
      <w:r>
        <w:t xml:space="preserve"> </w:t>
      </w:r>
      <w:r>
        <w:t xml:space="preserve">local regulation tend to be depleted of functional annotations and are</w:t>
      </w:r>
      <w:r>
        <w:t xml:space="preserve"> </w:t>
      </w:r>
      <w:r>
        <w:t xml:space="preserve">under looser selection constraints</w:t>
      </w:r>
      <w:r>
        <w:rPr>
          <w:vertAlign w:val="superscript"/>
        </w:rPr>
        <w:t xml:space="preserve">18</w:t>
      </w:r>
      <w:r>
        <w:t xml:space="preserve">. These</w:t>
      </w:r>
      <w:r>
        <w:t xml:space="preserve"> </w:t>
      </w:r>
      <w:r>
        <w:t xml:space="preserve">observations and others led Liu et al. </w:t>
      </w:r>
      <w:r>
        <w:rPr>
          <w:vertAlign w:val="superscript"/>
        </w:rPr>
        <w:t xml:space="preserve">61</w:t>
      </w:r>
      <w:r>
        <w:t xml:space="preserve"> </w:t>
      </w:r>
      <w:r>
        <w:t xml:space="preserve">to suggest</w:t>
      </w:r>
      <w:r>
        <w:t xml:space="preserve"> </w:t>
      </w:r>
      <w:r>
        <w:t xml:space="preserve">that most heritability of complex traits is driven by weak distal eQTLs.</w:t>
      </w:r>
      <w:r>
        <w:t xml:space="preserve"> </w:t>
      </w:r>
      <w:r>
        <w:t xml:space="preserve">They proposed a framework of understanding heritability of complex</w:t>
      </w:r>
      <w:r>
        <w:t xml:space="preserve"> </w:t>
      </w:r>
      <w:r>
        <w:t xml:space="preserve">traits in which massive polygenicity is distributed across common</w:t>
      </w:r>
      <w:r>
        <w:t xml:space="preserve"> </w:t>
      </w:r>
      <w:r>
        <w:t xml:space="preserve">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</w:t>
      </w:r>
      <w:r>
        <w:t xml:space="preserve"> </w:t>
      </w:r>
      <w:r>
        <w:t xml:space="preserve">genes that may not seem obviously related to the trait.</w:t>
      </w:r>
    </w:p>
    <w:p>
      <w:pPr>
        <w:pStyle w:val="BodyText"/>
      </w:pPr>
      <w:r>
        <w:t xml:space="preserve">This pattern is consistent with principles of robustness in complex</w:t>
      </w:r>
      <w:r>
        <w:t xml:space="preserve"> </w:t>
      </w:r>
      <w:r>
        <w:t xml:space="preserve">systems</w:t>
      </w:r>
      <w:r>
        <w:rPr>
          <w:vertAlign w:val="superscript"/>
        </w:rPr>
        <w:t xml:space="preserve">62–64</w:t>
      </w:r>
      <w:r>
        <w:t xml:space="preserve">. If a transcript</w:t>
      </w:r>
      <w:r>
        <w:t xml:space="preserve"> </w:t>
      </w:r>
      <w:r>
        <w:t xml:space="preserve">were 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Here, we used large, comprehensive, and purpose-built data sets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analysis (HDMA) to specifically</w:t>
      </w:r>
      <w:r>
        <w:t xml:space="preserve"> </w:t>
      </w:r>
      <w:r>
        <w:t xml:space="preserve">identify the distally regulated transcriptomic signature mediating the</w:t>
      </w:r>
      <w:r>
        <w:t xml:space="preserve"> </w:t>
      </w:r>
      <w:r>
        <w:t xml:space="preserve">effect of the genotype on phenotype. This approach contrasts with</w:t>
      </w:r>
      <w:r>
        <w:t xml:space="preserve"> </w:t>
      </w:r>
      <w:r>
        <w:t xml:space="preserve">traditional univariate approaches in several important respects. First,</w:t>
      </w:r>
      <w:r>
        <w:t xml:space="preserve"> </w:t>
      </w:r>
      <w:r>
        <w:t xml:space="preserve">in contrast to univariate approaches, which assume independence of</w:t>
      </w:r>
      <w:r>
        <w:t xml:space="preserve"> </w:t>
      </w:r>
      <w:r>
        <w:t xml:space="preserve">genetic variants and transcripts, HDMA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HDMA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HDMA generates a weighted vector of transcripts that can be</w:t>
      </w:r>
      <w:r>
        <w:t xml:space="preserve"> </w:t>
      </w:r>
      <w:r>
        <w:t xml:space="preserve">analyzed as a whole, or dissected to identify transcripts with stronger</w:t>
      </w:r>
      <w:r>
        <w:t xml:space="preserve"> </w:t>
      </w:r>
      <w:r>
        <w:t xml:space="preserve">and weaker effects. This method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</w:t>
      </w:r>
    </w:p>
    <w:p>
      <w:pPr>
        <w:pStyle w:val="BodyText"/>
      </w:pPr>
      <w:r>
        <w:t xml:space="preserve">Using HDMA, we identified a highly heritable composite trait (</w:t>
      </w:r>
      <m:oMath>
        <m:sSup>
          <m:e>
            <m:r>
              <m:t>h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0.71) that explained 30% of overall trait variance, and was perfectly</w:t>
      </w:r>
      <w:r>
        <w:t xml:space="preserve"> </w:t>
      </w:r>
      <w:r>
        <w:t xml:space="preserve">mediated by a composite transcript that included expression from four</w:t>
      </w:r>
      <w:r>
        <w:t xml:space="preserve"> </w:t>
      </w:r>
      <w:r>
        <w:t xml:space="preserve">tissues known to be involved in metabolic disease. Gene expression in</w:t>
      </w:r>
      <w:r>
        <w:t xml:space="preserve"> </w:t>
      </w:r>
      <w:r>
        <w:t xml:space="preserve">adipose tissue was the strongest mediator of genetic effects on</w:t>
      </w:r>
      <w:r>
        <w:t xml:space="preserve"> </w:t>
      </w:r>
      <w:r>
        <w:t xml:space="preserve">metabolic disease. Further analysis of the loadings onto transcripts in</w:t>
      </w:r>
      <w:r>
        <w:t xml:space="preserve"> </w:t>
      </w:r>
      <w:r>
        <w:t xml:space="preserve">each 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These were transcripts of moderate</w:t>
      </w:r>
      <w:r>
        <w:t xml:space="preserve"> </w:t>
      </w:r>
      <w:r>
        <w:t xml:space="preserve">local 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61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 5). Thus, although distal regulation of some</w:t>
      </w:r>
      <w:r>
        <w:t xml:space="preserve"> </w:t>
      </w:r>
      <w:r>
        <w:t xml:space="preserve">genes may be strong, this regulation is likely to be highly complex and</w:t>
      </w:r>
      <w:r>
        <w:t xml:space="preserve"> </w:t>
      </w:r>
      <w:r>
        <w:t xml:space="preserve">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310510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7"/>
    <w:bookmarkStart w:id="138" w:name="ref-pmid2978292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8"/>
    <w:bookmarkStart w:id="139" w:name="ref-pmid120821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9"/>
    <w:bookmarkStart w:id="140" w:name="ref-pmid273049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2024-08-08T14:53:55Z</dcterms:created>
  <dcterms:modified xsi:type="dcterms:W3CDTF">2024-08-08T14:53:55Z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